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1424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кб.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Дмитрия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>563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км.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Р404 Тюмень – 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Ниссан Кашкай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в зоне действия дорожного знака 3.20 «Обгон запрещен» с выездом на полосу дороги предназначенную для встречного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 совершил административное правонарушение, предусмотренное ч. 4 ст. 12.15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в полном объеме, ходатайств не заявил. Пояснил, что обстоятельства правонарушения в материалах дела зафиксированы верно. В содеянном раскаивается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суд приходит к следующему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Д.С. 08.05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09 час. 30 мин. на 563 км. автодороги Р404 Тюмень – Ханты-Мансийск, Нефтеюганский район ХМАО-Югра, управляя транспортным средством Ниссан Кашкай г/н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Васильевым Д.С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без каких-либо замечаний,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Д.С. 08.05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09 час. 30 мин. на 563 км. автодороги Р404 Тюмень – Ханты-Мансийск, Нефтеюганский район ХМАО-Югра, управляя транспортным средством Ниссан Кашкай г/н </w:t>
      </w:r>
      <w:r>
        <w:rPr>
          <w:rStyle w:val="cat-UserDefinedgrp-32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БДД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Д.С. 08.05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09 час. 30 мин. на 563 км. автодороги Р404 Тюмень – Ханты-Мансийск, Нефтеюганский район ХМАО-Югра, управляя транспортным средством Ниссан Кашкай г/н </w:t>
      </w:r>
      <w:r>
        <w:rPr>
          <w:rStyle w:val="cat-UserDefinedgrp-32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- видеозаписью</w:t>
      </w:r>
      <w:r>
        <w:rPr>
          <w:b w:val="0"/>
          <w:bCs w:val="0"/>
          <w:i w:val="0"/>
          <w:sz w:val="28"/>
          <w:szCs w:val="28"/>
        </w:rPr>
        <w:t xml:space="preserve">, согласно которой </w:t>
      </w:r>
      <w:r>
        <w:rPr>
          <w:b w:val="0"/>
          <w:bCs w:val="0"/>
          <w:i w:val="0"/>
          <w:sz w:val="28"/>
          <w:szCs w:val="28"/>
        </w:rPr>
        <w:t>водитель,</w:t>
      </w:r>
      <w:r>
        <w:rPr>
          <w:b w:val="0"/>
          <w:bCs w:val="0"/>
          <w:i w:val="0"/>
          <w:sz w:val="28"/>
          <w:szCs w:val="28"/>
        </w:rPr>
        <w:t xml:space="preserve"> управляя транспортным средством </w:t>
      </w:r>
      <w:r>
        <w:rPr>
          <w:b w:val="0"/>
          <w:bCs w:val="0"/>
          <w:i w:val="0"/>
          <w:sz w:val="28"/>
          <w:szCs w:val="28"/>
        </w:rPr>
        <w:t xml:space="preserve">Ниссан Кашкай г/н </w:t>
      </w:r>
      <w:r>
        <w:rPr>
          <w:rStyle w:val="cat-UserDefinedgrp-32rplc-54"/>
          <w:b w:val="0"/>
          <w:bCs w:val="0"/>
          <w:i w:val="0"/>
          <w:sz w:val="28"/>
          <w:szCs w:val="28"/>
        </w:rPr>
        <w:t>...</w:t>
      </w:r>
      <w:r>
        <w:rPr>
          <w:b w:val="0"/>
          <w:bCs w:val="0"/>
          <w:i w:val="0"/>
          <w:sz w:val="28"/>
          <w:szCs w:val="28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исследованы: определение о передаче дела 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водительского удостоверения; копия свидетельства о регистрации ТС;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операции с ВУ; карточка учета ТС; </w:t>
      </w:r>
      <w:r>
        <w:rPr>
          <w:rFonts w:ascii="Times New Roman" w:eastAsia="Times New Roman" w:hAnsi="Times New Roman" w:cs="Times New Roman"/>
          <w:sz w:val="28"/>
          <w:szCs w:val="28"/>
        </w:rPr>
        <w:t>список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; определение о передаче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в соответствии со ст.4.2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признание вины, раскаяние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Дмитрия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5 000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может быть подана в Сургутский городской суд в течение десяти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40730008509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 д.9 ул. Гагарина г. Сургута.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п</w:t>
      </w:r>
      <w:r>
        <w:rPr>
          <w:rFonts w:ascii="Times New Roman" w:eastAsia="Times New Roman" w:hAnsi="Times New Roman" w:cs="Times New Roman"/>
          <w:sz w:val="28"/>
          <w:szCs w:val="28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284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2rplc-41">
    <w:name w:val="cat-UserDefined grp-32 rplc-41"/>
    <w:basedOn w:val="DefaultParagraphFont"/>
  </w:style>
  <w:style w:type="character" w:customStyle="1" w:styleId="cat-UserDefinedgrp-32rplc-50">
    <w:name w:val="cat-UserDefined grp-32 rplc-50"/>
    <w:basedOn w:val="DefaultParagraphFont"/>
  </w:style>
  <w:style w:type="character" w:customStyle="1" w:styleId="cat-UserDefinedgrp-32rplc-54">
    <w:name w:val="cat-UserDefined grp-32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